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B5AB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21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BA51C3" w:rsidRDefault="001B1065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>
        <w:rPr>
          <w:lang w:val="ru-RU"/>
        </w:rPr>
        <w:t>Внести в</w:t>
      </w:r>
      <w:r w:rsidR="00C92731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</w:t>
      </w:r>
      <w:r w:rsidR="00976D90">
        <w:rPr>
          <w:lang w:val="ru-RU"/>
        </w:rPr>
        <w:t>19</w:t>
      </w:r>
      <w:r w:rsidR="00C92731">
        <w:rPr>
          <w:lang w:val="ru-RU"/>
        </w:rPr>
        <w:t xml:space="preserve"> год</w:t>
      </w:r>
      <w:r w:rsidR="00976D90">
        <w:rPr>
          <w:lang w:val="ru-RU"/>
        </w:rPr>
        <w:t xml:space="preserve">, утвержденный приказом </w:t>
      </w:r>
      <w:r w:rsidR="00957535">
        <w:rPr>
          <w:lang w:val="ru-RU"/>
        </w:rPr>
        <w:t>М</w:t>
      </w:r>
      <w:r w:rsidR="00976D90">
        <w:rPr>
          <w:lang w:val="ru-RU"/>
        </w:rPr>
        <w:t xml:space="preserve">инистерства государственного имущества Республики Марий Эл </w:t>
      </w:r>
      <w:r w:rsidR="003D175E">
        <w:rPr>
          <w:lang w:val="ru-RU"/>
        </w:rPr>
        <w:br/>
      </w:r>
      <w:r w:rsidR="00976D90">
        <w:rPr>
          <w:lang w:val="ru-RU"/>
        </w:rPr>
        <w:t>от 26 декабря 2018 г. № 19-нп, следующие изменения:</w:t>
      </w:r>
    </w:p>
    <w:p w:rsidR="00976D90" w:rsidRDefault="00976D90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1.1. В связи с вступившими в законную силу решениями Верховного </w:t>
      </w:r>
      <w:r w:rsidR="00F54403">
        <w:rPr>
          <w:lang w:val="ru-RU"/>
        </w:rPr>
        <w:t>С</w:t>
      </w:r>
      <w:r>
        <w:rPr>
          <w:lang w:val="ru-RU"/>
        </w:rPr>
        <w:t>уда Республики Марий Эл:</w:t>
      </w:r>
    </w:p>
    <w:p w:rsidR="00143867" w:rsidRDefault="00667FF8" w:rsidP="00143867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 8589</w:t>
      </w:r>
      <w:r w:rsidR="00143867">
        <w:rPr>
          <w:lang w:val="ru-RU"/>
        </w:rPr>
        <w:t xml:space="preserve"> на основании решения </w:t>
      </w:r>
      <w:r w:rsidR="00F13849">
        <w:rPr>
          <w:lang w:val="ru-RU"/>
        </w:rPr>
        <w:br/>
      </w:r>
      <w:r w:rsidR="00143867">
        <w:rPr>
          <w:lang w:val="ru-RU"/>
        </w:rPr>
        <w:t>Верховного Суда Р</w:t>
      </w:r>
      <w:r>
        <w:rPr>
          <w:lang w:val="ru-RU"/>
        </w:rPr>
        <w:t>еспублики Марий Эл от 7</w:t>
      </w:r>
      <w:r w:rsidR="00143867">
        <w:rPr>
          <w:lang w:val="ru-RU"/>
        </w:rPr>
        <w:t xml:space="preserve"> </w:t>
      </w:r>
      <w:r>
        <w:rPr>
          <w:lang w:val="ru-RU"/>
        </w:rPr>
        <w:t>сентября</w:t>
      </w:r>
      <w:r w:rsidR="003D175E">
        <w:rPr>
          <w:lang w:val="ru-RU"/>
        </w:rPr>
        <w:t xml:space="preserve"> 2020</w:t>
      </w:r>
      <w:r w:rsidR="00143867">
        <w:rPr>
          <w:lang w:val="ru-RU"/>
        </w:rPr>
        <w:t xml:space="preserve"> г</w:t>
      </w:r>
      <w:r w:rsidR="00F13849">
        <w:rPr>
          <w:lang w:val="ru-RU"/>
        </w:rPr>
        <w:t>ода</w:t>
      </w:r>
      <w:r w:rsidR="00143867">
        <w:rPr>
          <w:lang w:val="ru-RU"/>
        </w:rPr>
        <w:t xml:space="preserve"> </w:t>
      </w:r>
      <w:r w:rsidR="00F13849">
        <w:rPr>
          <w:lang w:val="ru-RU"/>
        </w:rPr>
        <w:br/>
      </w:r>
      <w:r w:rsidR="00143867">
        <w:rPr>
          <w:lang w:val="ru-RU"/>
        </w:rPr>
        <w:t>п</w:t>
      </w:r>
      <w:r>
        <w:rPr>
          <w:lang w:val="ru-RU"/>
        </w:rPr>
        <w:t>о административному делу № 3а-88</w:t>
      </w:r>
      <w:r w:rsidR="003D175E">
        <w:rPr>
          <w:lang w:val="ru-RU"/>
        </w:rPr>
        <w:t>/2020</w:t>
      </w:r>
      <w:r w:rsidR="00143867">
        <w:rPr>
          <w:lang w:val="ru-RU"/>
        </w:rPr>
        <w:t>;</w:t>
      </w:r>
    </w:p>
    <w:p w:rsidR="008B107B" w:rsidRDefault="008B107B" w:rsidP="008B107B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 107 на основании решения </w:t>
      </w:r>
      <w:r>
        <w:rPr>
          <w:lang w:val="ru-RU"/>
        </w:rPr>
        <w:br/>
        <w:t xml:space="preserve">Верховного Суда Республики Марий Эл от 18 сентября 2020 года </w:t>
      </w:r>
      <w:r>
        <w:rPr>
          <w:lang w:val="ru-RU"/>
        </w:rPr>
        <w:br/>
        <w:t>по административному делу № 3а-92/2020;</w:t>
      </w:r>
    </w:p>
    <w:p w:rsidR="008B107B" w:rsidRDefault="008B107B" w:rsidP="008B107B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 7908 на основании решения </w:t>
      </w:r>
      <w:r>
        <w:rPr>
          <w:lang w:val="ru-RU"/>
        </w:rPr>
        <w:br/>
        <w:t xml:space="preserve">Верховного Суда Республики Марий Эл от 28 сентября 2020 года </w:t>
      </w:r>
      <w:r>
        <w:rPr>
          <w:lang w:val="ru-RU"/>
        </w:rPr>
        <w:br/>
        <w:t>по административному делу № 3а-102/2020;</w:t>
      </w:r>
    </w:p>
    <w:p w:rsidR="008B107B" w:rsidRDefault="008B107B" w:rsidP="008B107B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пункты 51, 52, 8500 на основании решения </w:t>
      </w:r>
      <w:r>
        <w:rPr>
          <w:lang w:val="ru-RU"/>
        </w:rPr>
        <w:br/>
        <w:t xml:space="preserve">Верховного Суда Республики Марий Эл от 19 октября 2020 года </w:t>
      </w:r>
      <w:r>
        <w:rPr>
          <w:lang w:val="ru-RU"/>
        </w:rPr>
        <w:br/>
        <w:t>по административному делу № 3а-104/2020</w:t>
      </w:r>
      <w:r w:rsidR="00C3508B">
        <w:rPr>
          <w:lang w:val="ru-RU"/>
        </w:rPr>
        <w:t>;</w:t>
      </w:r>
    </w:p>
    <w:p w:rsidR="00C3508B" w:rsidRDefault="00C3508B" w:rsidP="00C3508B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пункты 15, 16 на основании решения </w:t>
      </w:r>
      <w:r>
        <w:rPr>
          <w:lang w:val="ru-RU"/>
        </w:rPr>
        <w:br/>
        <w:t xml:space="preserve">Верховного Суда Республики Марий Эл от 9 ноября 2020 года </w:t>
      </w:r>
      <w:r>
        <w:rPr>
          <w:lang w:val="ru-RU"/>
        </w:rPr>
        <w:br/>
        <w:t>по административному делу № 3а-111/2020</w:t>
      </w:r>
      <w:r w:rsidR="00A60B49">
        <w:rPr>
          <w:lang w:val="ru-RU"/>
        </w:rPr>
        <w:t>.</w:t>
      </w:r>
    </w:p>
    <w:p w:rsidR="00196778" w:rsidRDefault="001C26FC" w:rsidP="00196778">
      <w:pPr>
        <w:pStyle w:val="a5"/>
        <w:jc w:val="both"/>
        <w:rPr>
          <w:lang w:val="ru-RU"/>
        </w:rPr>
      </w:pPr>
      <w:r>
        <w:rPr>
          <w:lang w:val="ru-RU"/>
        </w:rPr>
        <w:t xml:space="preserve">1.2. В связи с изменением назначения нежилого объекта недвижимого </w:t>
      </w:r>
      <w:r w:rsidR="0051410D">
        <w:rPr>
          <w:lang w:val="ru-RU"/>
        </w:rPr>
        <w:t>имущества на</w:t>
      </w:r>
      <w:r>
        <w:rPr>
          <w:lang w:val="ru-RU"/>
        </w:rPr>
        <w:t xml:space="preserve"> жилое</w:t>
      </w:r>
      <w:r w:rsidR="00FF23D7">
        <w:rPr>
          <w:lang w:val="ru-RU"/>
        </w:rPr>
        <w:t>:</w:t>
      </w:r>
    </w:p>
    <w:p w:rsidR="00E76E65" w:rsidRDefault="001C26FC" w:rsidP="00E76E65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</w:t>
      </w:r>
      <w:r w:rsidR="001D1B3F">
        <w:rPr>
          <w:lang w:val="ru-RU"/>
        </w:rPr>
        <w:t>ы</w:t>
      </w:r>
      <w:r>
        <w:rPr>
          <w:lang w:val="ru-RU"/>
        </w:rPr>
        <w:t xml:space="preserve"> 4208, 5885</w:t>
      </w:r>
      <w:r w:rsidR="00FF23D7">
        <w:rPr>
          <w:lang w:val="ru-RU"/>
        </w:rPr>
        <w:t>.</w:t>
      </w:r>
    </w:p>
    <w:p w:rsidR="00FC3993" w:rsidRDefault="00FC3993" w:rsidP="00E76E65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lastRenderedPageBreak/>
        <w:t xml:space="preserve">1.3. На основании </w:t>
      </w:r>
      <w:r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 w:rsidR="000D2945"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>от 9 декабря</w:t>
      </w:r>
      <w:r>
        <w:rPr>
          <w:rFonts w:eastAsiaTheme="minorHAnsi"/>
          <w:lang w:val="ru-RU" w:eastAsia="en-US"/>
        </w:rPr>
        <w:t xml:space="preserve"> </w:t>
      </w:r>
      <w:r w:rsidRPr="00FC3993">
        <w:rPr>
          <w:rFonts w:eastAsiaTheme="minorHAnsi"/>
          <w:lang w:val="ru-RU" w:eastAsia="en-US"/>
        </w:rPr>
        <w:t>2020 года</w:t>
      </w:r>
      <w:r>
        <w:rPr>
          <w:rFonts w:eastAsiaTheme="minorHAnsi"/>
          <w:lang w:val="ru-RU" w:eastAsia="en-US"/>
        </w:rPr>
        <w:t>:</w:t>
      </w:r>
    </w:p>
    <w:p w:rsidR="00FC3993" w:rsidRDefault="003F3319" w:rsidP="00E76E65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</w:t>
      </w:r>
      <w:r w:rsidR="00FC3993">
        <w:rPr>
          <w:rFonts w:eastAsiaTheme="minorHAnsi"/>
          <w:lang w:val="ru-RU" w:eastAsia="en-US"/>
        </w:rPr>
        <w:t xml:space="preserve">сключить пункты </w:t>
      </w:r>
      <w:r w:rsidR="003A6C86">
        <w:rPr>
          <w:rFonts w:eastAsiaTheme="minorHAnsi"/>
          <w:lang w:val="ru-RU" w:eastAsia="en-US"/>
        </w:rPr>
        <w:t xml:space="preserve">250, </w:t>
      </w:r>
      <w:r w:rsidR="005B4EBD">
        <w:rPr>
          <w:rFonts w:eastAsiaTheme="minorHAnsi"/>
          <w:lang w:val="ru-RU" w:eastAsia="en-US"/>
        </w:rPr>
        <w:t>885, 969,</w:t>
      </w:r>
      <w:r w:rsidR="005B4EBD" w:rsidRPr="005B4EBD">
        <w:rPr>
          <w:rFonts w:eastAsiaTheme="minorHAnsi"/>
          <w:lang w:val="ru-RU" w:eastAsia="en-US"/>
        </w:rPr>
        <w:t xml:space="preserve"> </w:t>
      </w:r>
      <w:r w:rsidR="005B4EBD">
        <w:rPr>
          <w:rFonts w:eastAsiaTheme="minorHAnsi"/>
          <w:lang w:val="ru-RU" w:eastAsia="en-US"/>
        </w:rPr>
        <w:t>1710,</w:t>
      </w:r>
      <w:r w:rsidR="005B4EBD" w:rsidRPr="005B4EBD">
        <w:rPr>
          <w:rFonts w:eastAsiaTheme="minorHAnsi"/>
          <w:lang w:val="ru-RU" w:eastAsia="en-US"/>
        </w:rPr>
        <w:t xml:space="preserve"> </w:t>
      </w:r>
      <w:r w:rsidR="003A6C86">
        <w:rPr>
          <w:rFonts w:eastAsiaTheme="minorHAnsi"/>
          <w:lang w:val="ru-RU" w:eastAsia="en-US"/>
        </w:rPr>
        <w:t xml:space="preserve">3357, 3368, 3538, 3539, </w:t>
      </w:r>
      <w:r w:rsidR="005B4EBD">
        <w:rPr>
          <w:rFonts w:eastAsiaTheme="minorHAnsi"/>
          <w:lang w:val="ru-RU" w:eastAsia="en-US"/>
        </w:rPr>
        <w:t>3670, 3671,</w:t>
      </w:r>
      <w:r w:rsidR="00EB4DE6">
        <w:rPr>
          <w:rFonts w:eastAsiaTheme="minorHAnsi"/>
          <w:lang w:val="ru-RU" w:eastAsia="en-US"/>
        </w:rPr>
        <w:t xml:space="preserve"> </w:t>
      </w:r>
      <w:r w:rsidR="005B4EBD">
        <w:rPr>
          <w:rFonts w:eastAsiaTheme="minorHAnsi"/>
          <w:lang w:val="ru-RU" w:eastAsia="en-US"/>
        </w:rPr>
        <w:t xml:space="preserve">5496, </w:t>
      </w:r>
      <w:r w:rsidR="00C86C18">
        <w:rPr>
          <w:rFonts w:eastAsiaTheme="minorHAnsi"/>
          <w:lang w:val="ru-RU" w:eastAsia="en-US"/>
        </w:rPr>
        <w:t xml:space="preserve">5641, </w:t>
      </w:r>
      <w:r w:rsidR="005B4EBD">
        <w:rPr>
          <w:rFonts w:eastAsiaTheme="minorHAnsi"/>
          <w:lang w:val="ru-RU" w:eastAsia="en-US"/>
        </w:rPr>
        <w:t>5643, 5644,</w:t>
      </w:r>
      <w:r w:rsidR="00C86C18" w:rsidRPr="00C86C18">
        <w:rPr>
          <w:rFonts w:eastAsiaTheme="minorHAnsi"/>
          <w:lang w:val="ru-RU" w:eastAsia="en-US"/>
        </w:rPr>
        <w:t xml:space="preserve"> </w:t>
      </w:r>
      <w:r w:rsidR="00C86C18" w:rsidRPr="00BF21A2">
        <w:rPr>
          <w:rFonts w:eastAsiaTheme="minorHAnsi"/>
          <w:lang w:val="ru-RU" w:eastAsia="en-US"/>
        </w:rPr>
        <w:t>5649</w:t>
      </w:r>
      <w:r w:rsidR="00C86C18">
        <w:rPr>
          <w:rFonts w:eastAsiaTheme="minorHAnsi"/>
          <w:lang w:val="ru-RU" w:eastAsia="en-US"/>
        </w:rPr>
        <w:t>,</w:t>
      </w:r>
      <w:r w:rsidR="00C86C18" w:rsidRPr="00C86C18">
        <w:rPr>
          <w:rFonts w:eastAsiaTheme="minorHAnsi"/>
          <w:lang w:val="ru-RU" w:eastAsia="en-US"/>
        </w:rPr>
        <w:t xml:space="preserve"> </w:t>
      </w:r>
      <w:r w:rsidR="00C86C18">
        <w:rPr>
          <w:rFonts w:eastAsiaTheme="minorHAnsi"/>
          <w:lang w:val="ru-RU" w:eastAsia="en-US"/>
        </w:rPr>
        <w:t>5703</w:t>
      </w:r>
      <w:r w:rsidR="00C86C18" w:rsidRPr="00BF21A2">
        <w:rPr>
          <w:rFonts w:eastAsiaTheme="minorHAnsi"/>
          <w:lang w:val="ru-RU" w:eastAsia="en-US"/>
        </w:rPr>
        <w:t xml:space="preserve">, </w:t>
      </w:r>
      <w:r w:rsidR="00C86C18">
        <w:rPr>
          <w:rFonts w:eastAsiaTheme="minorHAnsi"/>
          <w:lang w:val="ru-RU" w:eastAsia="en-US"/>
        </w:rPr>
        <w:t>5708,</w:t>
      </w:r>
      <w:r w:rsidR="00C86C18" w:rsidRPr="00C86C18">
        <w:rPr>
          <w:rFonts w:eastAsiaTheme="minorHAnsi"/>
          <w:lang w:val="ru-RU" w:eastAsia="en-US"/>
        </w:rPr>
        <w:t xml:space="preserve"> </w:t>
      </w:r>
      <w:r w:rsidR="00C86C18">
        <w:rPr>
          <w:rFonts w:eastAsiaTheme="minorHAnsi"/>
          <w:lang w:val="ru-RU" w:eastAsia="en-US"/>
        </w:rPr>
        <w:t>5728, 5763,</w:t>
      </w:r>
      <w:r w:rsidR="00C86C18" w:rsidRPr="00C86C18">
        <w:rPr>
          <w:rFonts w:eastAsiaTheme="minorHAnsi"/>
          <w:lang w:val="ru-RU" w:eastAsia="en-US"/>
        </w:rPr>
        <w:t xml:space="preserve"> </w:t>
      </w:r>
      <w:r w:rsidR="00C86C18">
        <w:rPr>
          <w:rFonts w:eastAsiaTheme="minorHAnsi"/>
          <w:lang w:val="ru-RU" w:eastAsia="en-US"/>
        </w:rPr>
        <w:t>5765,</w:t>
      </w:r>
      <w:r w:rsidR="00C86C18" w:rsidRPr="00C86C18">
        <w:rPr>
          <w:rFonts w:eastAsiaTheme="minorHAnsi"/>
          <w:lang w:val="ru-RU" w:eastAsia="en-US"/>
        </w:rPr>
        <w:t xml:space="preserve"> </w:t>
      </w:r>
      <w:r w:rsidR="00C86C18">
        <w:rPr>
          <w:rFonts w:eastAsiaTheme="minorHAnsi"/>
          <w:lang w:val="ru-RU" w:eastAsia="en-US"/>
        </w:rPr>
        <w:t>5770, 5774,</w:t>
      </w:r>
      <w:r w:rsidR="00C86C18" w:rsidRPr="00C86C18">
        <w:rPr>
          <w:rFonts w:eastAsiaTheme="minorHAnsi"/>
          <w:lang w:val="ru-RU" w:eastAsia="en-US"/>
        </w:rPr>
        <w:t xml:space="preserve"> </w:t>
      </w:r>
      <w:r w:rsidR="00C86C18">
        <w:rPr>
          <w:rFonts w:eastAsiaTheme="minorHAnsi"/>
          <w:lang w:val="ru-RU" w:eastAsia="en-US"/>
        </w:rPr>
        <w:t>5821,</w:t>
      </w:r>
      <w:r w:rsidR="00C86C18" w:rsidRPr="00C86C18">
        <w:rPr>
          <w:rFonts w:eastAsiaTheme="minorHAnsi"/>
          <w:lang w:val="ru-RU" w:eastAsia="en-US"/>
        </w:rPr>
        <w:t xml:space="preserve"> </w:t>
      </w:r>
      <w:r w:rsidR="00C86C18">
        <w:rPr>
          <w:rFonts w:eastAsiaTheme="minorHAnsi"/>
          <w:lang w:val="ru-RU" w:eastAsia="en-US"/>
        </w:rPr>
        <w:t>6585,</w:t>
      </w:r>
      <w:r w:rsidR="00C86C18" w:rsidRPr="00C86C18">
        <w:rPr>
          <w:rFonts w:eastAsiaTheme="minorHAnsi"/>
          <w:lang w:val="ru-RU" w:eastAsia="en-US"/>
        </w:rPr>
        <w:t xml:space="preserve"> </w:t>
      </w:r>
      <w:r w:rsidR="00C86C18">
        <w:rPr>
          <w:rFonts w:eastAsiaTheme="minorHAnsi"/>
          <w:lang w:val="ru-RU" w:eastAsia="en-US"/>
        </w:rPr>
        <w:t>6991, 6994,</w:t>
      </w:r>
      <w:r w:rsidR="003A6C86">
        <w:rPr>
          <w:rFonts w:eastAsiaTheme="minorHAnsi"/>
          <w:lang w:val="ru-RU" w:eastAsia="en-US"/>
        </w:rPr>
        <w:t xml:space="preserve"> 7418,</w:t>
      </w:r>
      <w:r w:rsidR="00C86C18">
        <w:rPr>
          <w:rFonts w:eastAsiaTheme="minorHAnsi"/>
          <w:lang w:val="ru-RU" w:eastAsia="en-US"/>
        </w:rPr>
        <w:t xml:space="preserve"> </w:t>
      </w:r>
      <w:r w:rsidR="00C20D2C">
        <w:rPr>
          <w:rFonts w:eastAsiaTheme="minorHAnsi"/>
          <w:lang w:val="ru-RU" w:eastAsia="en-US"/>
        </w:rPr>
        <w:t xml:space="preserve">7630, 9237, </w:t>
      </w:r>
      <w:r w:rsidR="001A1838">
        <w:rPr>
          <w:rFonts w:eastAsiaTheme="minorHAnsi"/>
          <w:lang w:val="ru-RU" w:eastAsia="en-US"/>
        </w:rPr>
        <w:t>9408, 9412</w:t>
      </w:r>
      <w:r w:rsidR="003A6C86">
        <w:rPr>
          <w:rFonts w:eastAsiaTheme="minorHAnsi"/>
          <w:lang w:val="ru-RU" w:eastAsia="en-US"/>
        </w:rPr>
        <w:t>,</w:t>
      </w:r>
      <w:r w:rsidR="00F739D8">
        <w:rPr>
          <w:rFonts w:eastAsiaTheme="minorHAnsi"/>
          <w:lang w:val="ru-RU" w:eastAsia="en-US"/>
        </w:rPr>
        <w:t xml:space="preserve"> 9504,</w:t>
      </w:r>
      <w:r w:rsidR="003A6C86">
        <w:rPr>
          <w:rFonts w:eastAsiaTheme="minorHAnsi"/>
          <w:lang w:val="ru-RU" w:eastAsia="en-US"/>
        </w:rPr>
        <w:t xml:space="preserve"> </w:t>
      </w:r>
      <w:r w:rsidR="00F739D8">
        <w:rPr>
          <w:rFonts w:eastAsiaTheme="minorHAnsi"/>
          <w:lang w:val="ru-RU" w:eastAsia="en-US"/>
        </w:rPr>
        <w:t>9505, 9604</w:t>
      </w:r>
      <w:r w:rsidR="003A6C86">
        <w:rPr>
          <w:rFonts w:eastAsiaTheme="minorHAnsi"/>
          <w:lang w:val="ru-RU" w:eastAsia="en-US"/>
        </w:rPr>
        <w:t>, 9659</w:t>
      </w:r>
      <w:r w:rsidR="001A1838">
        <w:rPr>
          <w:rFonts w:eastAsiaTheme="minorHAnsi"/>
          <w:lang w:val="ru-RU" w:eastAsia="en-US"/>
        </w:rPr>
        <w:t>.</w:t>
      </w:r>
    </w:p>
    <w:p w:rsidR="002469DE" w:rsidRPr="00211301" w:rsidRDefault="00A07058" w:rsidP="00211301">
      <w:pPr>
        <w:pStyle w:val="a5"/>
        <w:jc w:val="both"/>
        <w:rPr>
          <w:lang w:val="ru-RU"/>
        </w:rPr>
      </w:pPr>
      <w:r>
        <w:rPr>
          <w:lang w:val="ru-RU"/>
        </w:rPr>
        <w:t>2.</w:t>
      </w:r>
      <w:r w:rsidRPr="00A07058">
        <w:rPr>
          <w:lang w:val="ru-RU"/>
        </w:rPr>
        <w:t xml:space="preserve"> </w:t>
      </w:r>
      <w:r w:rsidR="00211301">
        <w:rPr>
          <w:lang w:val="ru-RU"/>
        </w:rPr>
        <w:t>Внести в Перечень</w:t>
      </w:r>
      <w:r w:rsidR="002469DE">
        <w:rPr>
          <w:lang w:val="ru-RU"/>
        </w:rPr>
        <w:t xml:space="preserve"> объектов недвижимого имущества, указанных </w:t>
      </w:r>
      <w:r w:rsidR="002469DE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>
        <w:rPr>
          <w:lang w:val="ru-RU"/>
        </w:rPr>
        <w:br/>
      </w:r>
      <w:r w:rsidR="002469DE">
        <w:rPr>
          <w:lang w:val="ru-RU"/>
        </w:rPr>
        <w:t xml:space="preserve">как кадастровая стоимость, на 2020 год, </w:t>
      </w:r>
      <w:r w:rsidR="00DC7606">
        <w:rPr>
          <w:lang w:val="ru-RU"/>
        </w:rPr>
        <w:t>утвержденный</w:t>
      </w:r>
      <w:r w:rsidR="002469DE">
        <w:rPr>
          <w:lang w:val="ru-RU"/>
        </w:rPr>
        <w:t xml:space="preserve"> приказом</w:t>
      </w:r>
      <w:r w:rsidR="00211301">
        <w:rPr>
          <w:lang w:val="ru-RU"/>
        </w:rPr>
        <w:t xml:space="preserve"> Министерства государственного имущества Республики Марий Эл </w:t>
      </w:r>
      <w:r w:rsidR="00211301">
        <w:rPr>
          <w:lang w:val="ru-RU"/>
        </w:rPr>
        <w:br/>
        <w:t>от 24 декабря 2019 г. № 27-нп, следующие изменения</w:t>
      </w:r>
      <w:r w:rsidR="002469DE">
        <w:rPr>
          <w:lang w:val="ru-RU"/>
        </w:rPr>
        <w:t>:</w:t>
      </w:r>
    </w:p>
    <w:p w:rsidR="00D07595" w:rsidRDefault="00211301" w:rsidP="001D1B3F">
      <w:pPr>
        <w:pStyle w:val="a5"/>
        <w:jc w:val="both"/>
        <w:rPr>
          <w:lang w:val="ru-RU"/>
        </w:rPr>
      </w:pPr>
      <w:r>
        <w:rPr>
          <w:lang w:val="ru-RU"/>
        </w:rPr>
        <w:t xml:space="preserve">2.1. </w:t>
      </w:r>
      <w:r w:rsidR="00D07595">
        <w:rPr>
          <w:lang w:val="ru-RU"/>
        </w:rPr>
        <w:t>В связи с вступившими в законную силу решениями Верховного Суда Республики Марий Эл:</w:t>
      </w:r>
    </w:p>
    <w:p w:rsidR="001D1B3F" w:rsidRDefault="00D07595" w:rsidP="001D1B3F">
      <w:pPr>
        <w:pStyle w:val="a5"/>
        <w:jc w:val="both"/>
        <w:rPr>
          <w:lang w:val="ru-RU"/>
        </w:rPr>
      </w:pPr>
      <w:r>
        <w:rPr>
          <w:lang w:val="ru-RU"/>
        </w:rPr>
        <w:t>и</w:t>
      </w:r>
      <w:r w:rsidR="001D1B3F">
        <w:rPr>
          <w:lang w:val="ru-RU"/>
        </w:rPr>
        <w:t xml:space="preserve">сключить пункты 7460, 7461 на основании решения </w:t>
      </w:r>
      <w:r w:rsidR="001D1B3F">
        <w:rPr>
          <w:lang w:val="ru-RU"/>
        </w:rPr>
        <w:br/>
        <w:t xml:space="preserve">Верховного Суда Республики Марий Эл от 9 сентября 2020 года </w:t>
      </w:r>
      <w:r w:rsidR="001D1B3F">
        <w:rPr>
          <w:lang w:val="ru-RU"/>
        </w:rPr>
        <w:br/>
        <w:t>по административному делу № 3а-90/2020;</w:t>
      </w:r>
    </w:p>
    <w:p w:rsidR="001D1B3F" w:rsidRDefault="004C7684" w:rsidP="001D1B3F">
      <w:pPr>
        <w:pStyle w:val="a5"/>
        <w:jc w:val="both"/>
        <w:rPr>
          <w:lang w:val="ru-RU"/>
        </w:rPr>
      </w:pPr>
      <w:r>
        <w:rPr>
          <w:lang w:val="ru-RU"/>
        </w:rPr>
        <w:t>и</w:t>
      </w:r>
      <w:r w:rsidR="001D1B3F">
        <w:rPr>
          <w:lang w:val="ru-RU"/>
        </w:rPr>
        <w:t xml:space="preserve">сключить пункты 1668, 9890 на основании решения </w:t>
      </w:r>
      <w:r w:rsidR="001D1B3F">
        <w:rPr>
          <w:lang w:val="ru-RU"/>
        </w:rPr>
        <w:br/>
        <w:t xml:space="preserve">Верховного Суда Республики Марий Эл от 11 сентября 2020 года </w:t>
      </w:r>
      <w:r w:rsidR="001D1B3F">
        <w:rPr>
          <w:lang w:val="ru-RU"/>
        </w:rPr>
        <w:br/>
        <w:t>по административному делу № 3а-91/2020;</w:t>
      </w:r>
    </w:p>
    <w:p w:rsidR="004C7684" w:rsidRDefault="004C7684" w:rsidP="004C7684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 8404 на основании решения </w:t>
      </w:r>
      <w:r>
        <w:rPr>
          <w:lang w:val="ru-RU"/>
        </w:rPr>
        <w:br/>
        <w:t xml:space="preserve">Верховного Суда Республики Марий Эл от 5 октября 2020 года </w:t>
      </w:r>
      <w:r>
        <w:rPr>
          <w:lang w:val="ru-RU"/>
        </w:rPr>
        <w:br/>
        <w:t>по административному делу № 3а-108/2020;</w:t>
      </w:r>
    </w:p>
    <w:p w:rsidR="00C3508B" w:rsidRDefault="001D1B3F" w:rsidP="00C3508B">
      <w:pPr>
        <w:pStyle w:val="a5"/>
        <w:jc w:val="both"/>
        <w:rPr>
          <w:lang w:val="ru-RU"/>
        </w:rPr>
      </w:pPr>
      <w:r>
        <w:rPr>
          <w:lang w:val="ru-RU"/>
        </w:rPr>
        <w:t>и</w:t>
      </w:r>
      <w:r w:rsidR="00C3508B">
        <w:rPr>
          <w:lang w:val="ru-RU"/>
        </w:rPr>
        <w:t xml:space="preserve">сключить пункты 15, 16 на основании решения </w:t>
      </w:r>
      <w:r w:rsidR="00C3508B">
        <w:rPr>
          <w:lang w:val="ru-RU"/>
        </w:rPr>
        <w:br/>
        <w:t xml:space="preserve">Верховного Суда Республики Марий Эл от 9 ноября 2020 года </w:t>
      </w:r>
      <w:r w:rsidR="00C3508B">
        <w:rPr>
          <w:lang w:val="ru-RU"/>
        </w:rPr>
        <w:br/>
        <w:t>по админ</w:t>
      </w:r>
      <w:r w:rsidR="0051410D">
        <w:rPr>
          <w:lang w:val="ru-RU"/>
        </w:rPr>
        <w:t>истративному делу № 3а-111/2020.</w:t>
      </w:r>
    </w:p>
    <w:p w:rsidR="00A60B49" w:rsidRDefault="00211301" w:rsidP="00A60B49">
      <w:pPr>
        <w:pStyle w:val="a5"/>
        <w:jc w:val="both"/>
        <w:rPr>
          <w:lang w:val="ru-RU"/>
        </w:rPr>
      </w:pPr>
      <w:r>
        <w:rPr>
          <w:lang w:val="ru-RU"/>
        </w:rPr>
        <w:t>2.2.</w:t>
      </w:r>
      <w:r w:rsidRPr="00211301">
        <w:rPr>
          <w:lang w:val="ru-RU"/>
        </w:rPr>
        <w:t xml:space="preserve"> </w:t>
      </w:r>
      <w:r w:rsidR="00A60B49">
        <w:rPr>
          <w:lang w:val="ru-RU"/>
        </w:rPr>
        <w:t>В связи с изменением назначения нежилого</w:t>
      </w:r>
      <w:r w:rsidR="0051410D">
        <w:rPr>
          <w:lang w:val="ru-RU"/>
        </w:rPr>
        <w:t xml:space="preserve"> объекта недвижимого имущества на</w:t>
      </w:r>
      <w:r w:rsidR="00A60B49">
        <w:rPr>
          <w:lang w:val="ru-RU"/>
        </w:rPr>
        <w:t xml:space="preserve"> жилое:</w:t>
      </w:r>
    </w:p>
    <w:p w:rsidR="00A60B49" w:rsidRDefault="00A60B49" w:rsidP="00A60B49">
      <w:pPr>
        <w:pStyle w:val="a5"/>
        <w:jc w:val="both"/>
        <w:rPr>
          <w:lang w:val="ru-RU"/>
        </w:rPr>
      </w:pPr>
      <w:r>
        <w:rPr>
          <w:lang w:val="ru-RU"/>
        </w:rPr>
        <w:t>исключить пункты 4142,</w:t>
      </w:r>
      <w:r w:rsidR="0013207C">
        <w:rPr>
          <w:lang w:val="ru-RU"/>
        </w:rPr>
        <w:t xml:space="preserve"> 5813</w:t>
      </w:r>
      <w:r>
        <w:rPr>
          <w:lang w:val="ru-RU"/>
        </w:rPr>
        <w:t>.</w:t>
      </w:r>
    </w:p>
    <w:p w:rsidR="000D2945" w:rsidRDefault="000D2945" w:rsidP="000D2945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2.3. На основании </w:t>
      </w:r>
      <w:r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>от 9 декабря</w:t>
      </w:r>
      <w:r>
        <w:rPr>
          <w:rFonts w:eastAsiaTheme="minorHAnsi"/>
          <w:lang w:val="ru-RU" w:eastAsia="en-US"/>
        </w:rPr>
        <w:t xml:space="preserve"> </w:t>
      </w:r>
      <w:r w:rsidRPr="00FC3993">
        <w:rPr>
          <w:rFonts w:eastAsiaTheme="minorHAnsi"/>
          <w:lang w:val="ru-RU" w:eastAsia="en-US"/>
        </w:rPr>
        <w:t>2020 года</w:t>
      </w:r>
      <w:r>
        <w:rPr>
          <w:rFonts w:eastAsiaTheme="minorHAnsi"/>
          <w:lang w:val="ru-RU" w:eastAsia="en-US"/>
        </w:rPr>
        <w:t>:</w:t>
      </w:r>
    </w:p>
    <w:p w:rsidR="000D2945" w:rsidRDefault="002709DA" w:rsidP="000D2945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</w:t>
      </w:r>
      <w:r w:rsidR="000D2945">
        <w:rPr>
          <w:rFonts w:eastAsiaTheme="minorHAnsi"/>
          <w:lang w:val="ru-RU" w:eastAsia="en-US"/>
        </w:rPr>
        <w:t xml:space="preserve">сключить пункты </w:t>
      </w:r>
      <w:r w:rsidR="003A6C86">
        <w:rPr>
          <w:rFonts w:eastAsiaTheme="minorHAnsi"/>
          <w:lang w:val="ru-RU" w:eastAsia="en-US"/>
        </w:rPr>
        <w:t xml:space="preserve">220, </w:t>
      </w:r>
      <w:r w:rsidR="00C60D6C">
        <w:rPr>
          <w:rFonts w:eastAsiaTheme="minorHAnsi"/>
          <w:lang w:val="ru-RU" w:eastAsia="en-US"/>
        </w:rPr>
        <w:t xml:space="preserve">849, </w:t>
      </w:r>
      <w:r w:rsidR="000D2945">
        <w:rPr>
          <w:rFonts w:eastAsiaTheme="minorHAnsi"/>
          <w:lang w:val="ru-RU" w:eastAsia="en-US"/>
        </w:rPr>
        <w:t xml:space="preserve">932, </w:t>
      </w:r>
      <w:r w:rsidR="00C60D6C">
        <w:rPr>
          <w:rFonts w:eastAsiaTheme="minorHAnsi"/>
          <w:lang w:val="ru-RU" w:eastAsia="en-US"/>
        </w:rPr>
        <w:t xml:space="preserve">1667, </w:t>
      </w:r>
      <w:r w:rsidR="003A6C86">
        <w:rPr>
          <w:rFonts w:eastAsiaTheme="minorHAnsi"/>
          <w:lang w:val="ru-RU" w:eastAsia="en-US"/>
        </w:rPr>
        <w:t xml:space="preserve">3300, 3311, 3480, 3481, </w:t>
      </w:r>
      <w:r w:rsidR="00C60D6C">
        <w:rPr>
          <w:rFonts w:eastAsiaTheme="minorHAnsi"/>
          <w:lang w:val="ru-RU" w:eastAsia="en-US"/>
        </w:rPr>
        <w:t>3610, 3611, 5426,</w:t>
      </w:r>
      <w:r w:rsidR="00C60D6C" w:rsidRPr="00C60D6C">
        <w:rPr>
          <w:rFonts w:eastAsiaTheme="minorHAnsi"/>
          <w:lang w:val="ru-RU" w:eastAsia="en-US"/>
        </w:rPr>
        <w:t xml:space="preserve"> </w:t>
      </w:r>
      <w:r w:rsidR="00C60D6C">
        <w:rPr>
          <w:rFonts w:eastAsiaTheme="minorHAnsi"/>
          <w:lang w:val="ru-RU" w:eastAsia="en-US"/>
        </w:rPr>
        <w:t xml:space="preserve">5570, 5572, 5573, </w:t>
      </w:r>
      <w:r w:rsidR="00C60D6C" w:rsidRPr="00D96F71">
        <w:rPr>
          <w:rFonts w:eastAsiaTheme="minorHAnsi"/>
          <w:lang w:val="ru-RU" w:eastAsia="en-US"/>
        </w:rPr>
        <w:t>5578</w:t>
      </w:r>
      <w:r w:rsidR="00C60D6C">
        <w:rPr>
          <w:rFonts w:eastAsiaTheme="minorHAnsi"/>
          <w:lang w:val="ru-RU" w:eastAsia="en-US"/>
        </w:rPr>
        <w:t>,</w:t>
      </w:r>
      <w:r w:rsidR="00C60D6C" w:rsidRPr="00C60D6C">
        <w:rPr>
          <w:rFonts w:eastAsiaTheme="minorHAnsi"/>
          <w:lang w:val="ru-RU" w:eastAsia="en-US"/>
        </w:rPr>
        <w:t xml:space="preserve"> </w:t>
      </w:r>
      <w:r w:rsidR="00C60D6C">
        <w:rPr>
          <w:rFonts w:eastAsiaTheme="minorHAnsi"/>
          <w:lang w:val="ru-RU" w:eastAsia="en-US"/>
        </w:rPr>
        <w:t>5632</w:t>
      </w:r>
      <w:r w:rsidR="00C60D6C" w:rsidRPr="00D96F71">
        <w:rPr>
          <w:rFonts w:eastAsiaTheme="minorHAnsi"/>
          <w:lang w:val="ru-RU" w:eastAsia="en-US"/>
        </w:rPr>
        <w:t>,</w:t>
      </w:r>
      <w:r w:rsidR="00D96F71" w:rsidRPr="00D96F71">
        <w:rPr>
          <w:rFonts w:eastAsiaTheme="minorHAnsi"/>
          <w:lang w:val="ru-RU" w:eastAsia="en-US"/>
        </w:rPr>
        <w:t xml:space="preserve"> </w:t>
      </w:r>
      <w:r w:rsidR="00D96F71">
        <w:rPr>
          <w:rFonts w:eastAsiaTheme="minorHAnsi"/>
          <w:lang w:val="ru-RU" w:eastAsia="en-US"/>
        </w:rPr>
        <w:t xml:space="preserve">5637, </w:t>
      </w:r>
      <w:r w:rsidR="00C60D6C">
        <w:rPr>
          <w:rFonts w:eastAsiaTheme="minorHAnsi"/>
          <w:lang w:val="ru-RU" w:eastAsia="en-US"/>
        </w:rPr>
        <w:t xml:space="preserve">5657, </w:t>
      </w:r>
      <w:r w:rsidR="00D96F71">
        <w:rPr>
          <w:rFonts w:eastAsiaTheme="minorHAnsi"/>
          <w:lang w:val="ru-RU" w:eastAsia="en-US"/>
        </w:rPr>
        <w:t>5691, 5693,</w:t>
      </w:r>
      <w:r w:rsidR="00D96F71" w:rsidRPr="00D96F71">
        <w:rPr>
          <w:rFonts w:eastAsiaTheme="minorHAnsi"/>
          <w:lang w:val="ru-RU" w:eastAsia="en-US"/>
        </w:rPr>
        <w:t xml:space="preserve"> </w:t>
      </w:r>
      <w:r w:rsidR="00D96F71">
        <w:rPr>
          <w:rFonts w:eastAsiaTheme="minorHAnsi"/>
          <w:lang w:val="ru-RU" w:eastAsia="en-US"/>
        </w:rPr>
        <w:t xml:space="preserve">5698, </w:t>
      </w:r>
      <w:r w:rsidR="00C60D6C">
        <w:rPr>
          <w:rFonts w:eastAsiaTheme="minorHAnsi"/>
          <w:lang w:val="ru-RU" w:eastAsia="en-US"/>
        </w:rPr>
        <w:t>5702, 5749,</w:t>
      </w:r>
      <w:r w:rsidR="00D96F71" w:rsidRPr="00D96F71">
        <w:rPr>
          <w:rFonts w:eastAsiaTheme="minorHAnsi"/>
          <w:lang w:val="ru-RU" w:eastAsia="en-US"/>
        </w:rPr>
        <w:t xml:space="preserve"> </w:t>
      </w:r>
      <w:r w:rsidR="00D96F71">
        <w:rPr>
          <w:rFonts w:eastAsiaTheme="minorHAnsi"/>
          <w:lang w:val="ru-RU" w:eastAsia="en-US"/>
        </w:rPr>
        <w:t>6511,</w:t>
      </w:r>
      <w:r w:rsidR="00D96F71" w:rsidRPr="00D96F71">
        <w:rPr>
          <w:rFonts w:eastAsiaTheme="minorHAnsi"/>
          <w:lang w:val="ru-RU" w:eastAsia="en-US"/>
        </w:rPr>
        <w:t xml:space="preserve"> </w:t>
      </w:r>
      <w:r w:rsidR="003A6C86">
        <w:rPr>
          <w:rFonts w:eastAsiaTheme="minorHAnsi"/>
          <w:lang w:val="ru-RU" w:eastAsia="en-US"/>
        </w:rPr>
        <w:t xml:space="preserve">7299, </w:t>
      </w:r>
      <w:r w:rsidR="00D96F71">
        <w:rPr>
          <w:rFonts w:eastAsiaTheme="minorHAnsi"/>
          <w:lang w:val="ru-RU" w:eastAsia="en-US"/>
        </w:rPr>
        <w:t xml:space="preserve">7439, 7440, </w:t>
      </w:r>
      <w:r w:rsidR="00C20D2C">
        <w:rPr>
          <w:rFonts w:eastAsiaTheme="minorHAnsi"/>
          <w:lang w:val="ru-RU" w:eastAsia="en-US"/>
        </w:rPr>
        <w:t xml:space="preserve">7497, </w:t>
      </w:r>
      <w:r w:rsidR="00D96F71">
        <w:rPr>
          <w:rFonts w:eastAsiaTheme="minorHAnsi"/>
          <w:lang w:val="ru-RU" w:eastAsia="en-US"/>
        </w:rPr>
        <w:t>8950</w:t>
      </w:r>
      <w:r w:rsidR="00F739D8">
        <w:rPr>
          <w:rFonts w:eastAsiaTheme="minorHAnsi"/>
          <w:lang w:val="ru-RU" w:eastAsia="en-US"/>
        </w:rPr>
        <w:t>, 9197, 9198, 9290, 9341</w:t>
      </w:r>
      <w:r w:rsidR="00D96F71">
        <w:rPr>
          <w:rFonts w:eastAsiaTheme="minorHAnsi"/>
          <w:lang w:val="ru-RU" w:eastAsia="en-US"/>
        </w:rPr>
        <w:t>.</w:t>
      </w:r>
    </w:p>
    <w:p w:rsidR="000079D8" w:rsidRPr="0051410D" w:rsidRDefault="000079D8" w:rsidP="00A60B49">
      <w:pPr>
        <w:pStyle w:val="a5"/>
        <w:jc w:val="both"/>
        <w:rPr>
          <w:lang w:val="ru-RU"/>
        </w:rPr>
      </w:pPr>
      <w:r w:rsidRPr="0051410D">
        <w:rPr>
          <w:lang w:val="ru-RU"/>
        </w:rPr>
        <w:t>3. Внести в приказ Министерства государственного им</w:t>
      </w:r>
      <w:r w:rsidR="0051410D">
        <w:rPr>
          <w:lang w:val="ru-RU"/>
        </w:rPr>
        <w:t>ущества Республики Марий Эл от 11</w:t>
      </w:r>
      <w:r w:rsidRPr="0051410D">
        <w:rPr>
          <w:lang w:val="ru-RU"/>
        </w:rPr>
        <w:t xml:space="preserve"> </w:t>
      </w:r>
      <w:r w:rsidR="0051410D">
        <w:rPr>
          <w:lang w:val="ru-RU"/>
        </w:rPr>
        <w:t>ноября 2020 г. № 4</w:t>
      </w:r>
      <w:r w:rsidRPr="0051410D">
        <w:rPr>
          <w:lang w:val="ru-RU"/>
        </w:rPr>
        <w:t xml:space="preserve">7-нп «О внесении изменений в </w:t>
      </w:r>
      <w:r w:rsidR="0051410D">
        <w:rPr>
          <w:lang w:val="ru-RU"/>
        </w:rPr>
        <w:t xml:space="preserve">некоторые </w:t>
      </w:r>
      <w:r w:rsidRPr="0051410D">
        <w:rPr>
          <w:lang w:val="ru-RU"/>
        </w:rPr>
        <w:t>приказ</w:t>
      </w:r>
      <w:r w:rsidR="0051410D">
        <w:rPr>
          <w:lang w:val="ru-RU"/>
        </w:rPr>
        <w:t>ы</w:t>
      </w:r>
      <w:r w:rsidRPr="0051410D">
        <w:rPr>
          <w:lang w:val="ru-RU"/>
        </w:rPr>
        <w:t xml:space="preserve"> Министерства государствен</w:t>
      </w:r>
      <w:r w:rsidR="0051410D">
        <w:rPr>
          <w:lang w:val="ru-RU"/>
        </w:rPr>
        <w:t>ного имущества Республики Марий Эл</w:t>
      </w:r>
      <w:r w:rsidRPr="0051410D">
        <w:rPr>
          <w:lang w:val="ru-RU"/>
        </w:rPr>
        <w:t>»</w:t>
      </w:r>
      <w:r w:rsidR="00211301" w:rsidRPr="0051410D">
        <w:rPr>
          <w:lang w:val="ru-RU"/>
        </w:rPr>
        <w:t>,</w:t>
      </w:r>
      <w:r w:rsidR="0051410D">
        <w:rPr>
          <w:lang w:val="ru-RU"/>
        </w:rPr>
        <w:t xml:space="preserve"> в связи </w:t>
      </w:r>
      <w:r w:rsidRPr="0051410D">
        <w:rPr>
          <w:lang w:val="ru-RU"/>
        </w:rPr>
        <w:t>с технической ошибк</w:t>
      </w:r>
      <w:r w:rsidR="00211301" w:rsidRPr="0051410D">
        <w:rPr>
          <w:lang w:val="ru-RU"/>
        </w:rPr>
        <w:t>ой, следующее изменение</w:t>
      </w:r>
      <w:r w:rsidRPr="0051410D">
        <w:rPr>
          <w:lang w:val="ru-RU"/>
        </w:rPr>
        <w:t>:</w:t>
      </w:r>
    </w:p>
    <w:p w:rsidR="000079D8" w:rsidRPr="0051410D" w:rsidRDefault="0051410D" w:rsidP="000079D8">
      <w:pPr>
        <w:pStyle w:val="a5"/>
        <w:jc w:val="both"/>
        <w:rPr>
          <w:lang w:val="ru-RU"/>
        </w:rPr>
      </w:pPr>
      <w:r>
        <w:rPr>
          <w:lang w:val="ru-RU"/>
        </w:rPr>
        <w:t>в подпункте 1.1</w:t>
      </w:r>
      <w:r w:rsidR="00211301" w:rsidRPr="0051410D">
        <w:rPr>
          <w:lang w:val="ru-RU"/>
        </w:rPr>
        <w:t xml:space="preserve"> пункта 1</w:t>
      </w:r>
      <w:r>
        <w:rPr>
          <w:lang w:val="ru-RU"/>
        </w:rPr>
        <w:t xml:space="preserve"> наименование пунктов «7456, 7457, 7458, 7459, 7460, 7461, 7462, 7463» заменить на «7356, 7357, 7358, 7359, 7360, 7361, 7362, 7363</w:t>
      </w:r>
      <w:r w:rsidR="000079D8" w:rsidRPr="0051410D">
        <w:rPr>
          <w:lang w:val="ru-RU"/>
        </w:rPr>
        <w:t xml:space="preserve">». </w:t>
      </w:r>
    </w:p>
    <w:p w:rsidR="00A60B49" w:rsidRDefault="00270BEA" w:rsidP="000D1904">
      <w:pPr>
        <w:pStyle w:val="a5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="00A60B49">
        <w:rPr>
          <w:lang w:val="ru-RU"/>
        </w:rPr>
        <w:t xml:space="preserve">. 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2021 год, утвержденный приказом Министерства государственного имущества Республики Марий Эл </w:t>
      </w:r>
      <w:r w:rsidR="00A60B49">
        <w:rPr>
          <w:lang w:val="ru-RU"/>
        </w:rPr>
        <w:br/>
        <w:t>от 23 декабря 2020 г. № 53-нп, следующие изменения:</w:t>
      </w:r>
    </w:p>
    <w:p w:rsidR="00A60B49" w:rsidRDefault="00270BEA" w:rsidP="00A60B49">
      <w:pPr>
        <w:pStyle w:val="a5"/>
        <w:jc w:val="both"/>
        <w:rPr>
          <w:lang w:val="ru-RU"/>
        </w:rPr>
      </w:pPr>
      <w:r>
        <w:rPr>
          <w:lang w:val="ru-RU"/>
        </w:rPr>
        <w:t>4</w:t>
      </w:r>
      <w:r w:rsidR="00A60B49">
        <w:rPr>
          <w:lang w:val="ru-RU"/>
        </w:rPr>
        <w:t>.1.</w:t>
      </w:r>
      <w:r w:rsidR="00A60B49" w:rsidRPr="00211301">
        <w:rPr>
          <w:lang w:val="ru-RU"/>
        </w:rPr>
        <w:t xml:space="preserve"> </w:t>
      </w:r>
      <w:r w:rsidR="00A60B49">
        <w:rPr>
          <w:lang w:val="ru-RU"/>
        </w:rPr>
        <w:t>В связи с изменением назначения нежилого</w:t>
      </w:r>
      <w:r>
        <w:rPr>
          <w:lang w:val="ru-RU"/>
        </w:rPr>
        <w:t xml:space="preserve"> объекта недвижимого имущества на</w:t>
      </w:r>
      <w:r w:rsidR="00A60B49">
        <w:rPr>
          <w:lang w:val="ru-RU"/>
        </w:rPr>
        <w:t xml:space="preserve"> жилое:</w:t>
      </w:r>
    </w:p>
    <w:p w:rsidR="00A60B49" w:rsidRDefault="00A60B49" w:rsidP="00A60B49">
      <w:pPr>
        <w:pStyle w:val="a5"/>
        <w:jc w:val="both"/>
        <w:rPr>
          <w:lang w:val="ru-RU"/>
        </w:rPr>
      </w:pPr>
      <w:r>
        <w:rPr>
          <w:lang w:val="ru-RU"/>
        </w:rPr>
        <w:t xml:space="preserve">исключить пункты 4073, </w:t>
      </w:r>
      <w:r w:rsidR="0013207C">
        <w:rPr>
          <w:lang w:val="ru-RU"/>
        </w:rPr>
        <w:t>5596</w:t>
      </w:r>
      <w:r>
        <w:rPr>
          <w:lang w:val="ru-RU"/>
        </w:rPr>
        <w:t>.</w:t>
      </w:r>
    </w:p>
    <w:p w:rsidR="00C92731" w:rsidRPr="00413419" w:rsidRDefault="00905735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>о дня его опубликования</w:t>
      </w:r>
      <w:r w:rsidR="001B1065">
        <w:rPr>
          <w:lang w:val="ru-RU"/>
        </w:rPr>
        <w:t>.</w:t>
      </w:r>
    </w:p>
    <w:p w:rsidR="00C21CD6" w:rsidRPr="00413419" w:rsidRDefault="00905735" w:rsidP="00C21CD6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оставляю за собой.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0D1904" w:rsidRDefault="000D1904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1D0F98">
      <w:pPr>
        <w:jc w:val="both"/>
        <w:rPr>
          <w:sz w:val="16"/>
          <w:szCs w:val="16"/>
        </w:rPr>
      </w:pPr>
      <w:bookmarkStart w:id="0" w:name="_GoBack"/>
      <w:bookmarkEnd w:id="0"/>
    </w:p>
    <w:sectPr w:rsidR="001D0F98" w:rsidSect="00F739D8">
      <w:pgSz w:w="11907" w:h="16840"/>
      <w:pgMar w:top="1134" w:right="1134" w:bottom="85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27" w:rsidRDefault="00893D27" w:rsidP="0083539A">
      <w:r>
        <w:separator/>
      </w:r>
    </w:p>
  </w:endnote>
  <w:endnote w:type="continuationSeparator" w:id="0">
    <w:p w:rsidR="00893D27" w:rsidRDefault="00893D27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27" w:rsidRDefault="00893D27" w:rsidP="0083539A">
      <w:r>
        <w:separator/>
      </w:r>
    </w:p>
  </w:footnote>
  <w:footnote w:type="continuationSeparator" w:id="0">
    <w:p w:rsidR="00893D27" w:rsidRDefault="00893D27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70A7"/>
    <w:rsid w:val="000079D8"/>
    <w:rsid w:val="0002328E"/>
    <w:rsid w:val="000235A7"/>
    <w:rsid w:val="000264CC"/>
    <w:rsid w:val="0003046E"/>
    <w:rsid w:val="00035CD5"/>
    <w:rsid w:val="000415ED"/>
    <w:rsid w:val="00072745"/>
    <w:rsid w:val="00073CFB"/>
    <w:rsid w:val="00083247"/>
    <w:rsid w:val="0008573B"/>
    <w:rsid w:val="00090D7E"/>
    <w:rsid w:val="000A63FB"/>
    <w:rsid w:val="000C28ED"/>
    <w:rsid w:val="000D1904"/>
    <w:rsid w:val="000D1E01"/>
    <w:rsid w:val="000D2945"/>
    <w:rsid w:val="000D6CE6"/>
    <w:rsid w:val="00123633"/>
    <w:rsid w:val="0013207C"/>
    <w:rsid w:val="00143867"/>
    <w:rsid w:val="001611EB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C26FC"/>
    <w:rsid w:val="001D0F98"/>
    <w:rsid w:val="001D1B3F"/>
    <w:rsid w:val="001E243B"/>
    <w:rsid w:val="001F39BB"/>
    <w:rsid w:val="001F5B06"/>
    <w:rsid w:val="00211301"/>
    <w:rsid w:val="002351C3"/>
    <w:rsid w:val="00241AA0"/>
    <w:rsid w:val="00244D1E"/>
    <w:rsid w:val="002469DE"/>
    <w:rsid w:val="00254374"/>
    <w:rsid w:val="002664B6"/>
    <w:rsid w:val="002709DA"/>
    <w:rsid w:val="00270BEA"/>
    <w:rsid w:val="002714EF"/>
    <w:rsid w:val="00281A7D"/>
    <w:rsid w:val="00291F79"/>
    <w:rsid w:val="002B152B"/>
    <w:rsid w:val="002C28ED"/>
    <w:rsid w:val="002E0BFD"/>
    <w:rsid w:val="00310A9D"/>
    <w:rsid w:val="003159BF"/>
    <w:rsid w:val="0034024C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F1220"/>
    <w:rsid w:val="003F3319"/>
    <w:rsid w:val="00413419"/>
    <w:rsid w:val="004257FE"/>
    <w:rsid w:val="00427122"/>
    <w:rsid w:val="00471373"/>
    <w:rsid w:val="004804AB"/>
    <w:rsid w:val="00483527"/>
    <w:rsid w:val="004B1285"/>
    <w:rsid w:val="004B5ABF"/>
    <w:rsid w:val="004C7684"/>
    <w:rsid w:val="005003C9"/>
    <w:rsid w:val="00512044"/>
    <w:rsid w:val="0051410D"/>
    <w:rsid w:val="00523B2C"/>
    <w:rsid w:val="00531CF9"/>
    <w:rsid w:val="00533948"/>
    <w:rsid w:val="00534F49"/>
    <w:rsid w:val="0054693A"/>
    <w:rsid w:val="00547661"/>
    <w:rsid w:val="005561BB"/>
    <w:rsid w:val="00572101"/>
    <w:rsid w:val="005945C1"/>
    <w:rsid w:val="005A31D1"/>
    <w:rsid w:val="005B483B"/>
    <w:rsid w:val="005B4EB9"/>
    <w:rsid w:val="005B4EBD"/>
    <w:rsid w:val="005E753F"/>
    <w:rsid w:val="00600130"/>
    <w:rsid w:val="00611226"/>
    <w:rsid w:val="00611F23"/>
    <w:rsid w:val="006130C0"/>
    <w:rsid w:val="0065013E"/>
    <w:rsid w:val="006670F7"/>
    <w:rsid w:val="00667FF8"/>
    <w:rsid w:val="0068395E"/>
    <w:rsid w:val="00684E3F"/>
    <w:rsid w:val="0068573B"/>
    <w:rsid w:val="0069675F"/>
    <w:rsid w:val="006C19F7"/>
    <w:rsid w:val="006C311A"/>
    <w:rsid w:val="00706CEB"/>
    <w:rsid w:val="00716524"/>
    <w:rsid w:val="007200CA"/>
    <w:rsid w:val="00753816"/>
    <w:rsid w:val="00773B44"/>
    <w:rsid w:val="00780063"/>
    <w:rsid w:val="00786868"/>
    <w:rsid w:val="007C2A0E"/>
    <w:rsid w:val="007C4728"/>
    <w:rsid w:val="007D3661"/>
    <w:rsid w:val="00800494"/>
    <w:rsid w:val="008061D6"/>
    <w:rsid w:val="0083539A"/>
    <w:rsid w:val="00835975"/>
    <w:rsid w:val="00861127"/>
    <w:rsid w:val="00873E45"/>
    <w:rsid w:val="00893D27"/>
    <w:rsid w:val="008A1583"/>
    <w:rsid w:val="008A343E"/>
    <w:rsid w:val="008B107B"/>
    <w:rsid w:val="008B3284"/>
    <w:rsid w:val="008B778D"/>
    <w:rsid w:val="008C05B1"/>
    <w:rsid w:val="008D0DE6"/>
    <w:rsid w:val="008D1A74"/>
    <w:rsid w:val="0090079F"/>
    <w:rsid w:val="00905735"/>
    <w:rsid w:val="00957535"/>
    <w:rsid w:val="00957C20"/>
    <w:rsid w:val="00975A2B"/>
    <w:rsid w:val="00976D90"/>
    <w:rsid w:val="00981B27"/>
    <w:rsid w:val="009914DF"/>
    <w:rsid w:val="0099257A"/>
    <w:rsid w:val="009929D1"/>
    <w:rsid w:val="009A385B"/>
    <w:rsid w:val="009B12F9"/>
    <w:rsid w:val="009B2102"/>
    <w:rsid w:val="009C4B9F"/>
    <w:rsid w:val="009D3758"/>
    <w:rsid w:val="009D7E82"/>
    <w:rsid w:val="009E1985"/>
    <w:rsid w:val="00A07058"/>
    <w:rsid w:val="00A108D4"/>
    <w:rsid w:val="00A16482"/>
    <w:rsid w:val="00A44069"/>
    <w:rsid w:val="00A47B96"/>
    <w:rsid w:val="00A60B49"/>
    <w:rsid w:val="00A7300A"/>
    <w:rsid w:val="00AB2136"/>
    <w:rsid w:val="00AC2FE7"/>
    <w:rsid w:val="00AD372B"/>
    <w:rsid w:val="00AD595E"/>
    <w:rsid w:val="00AD79B9"/>
    <w:rsid w:val="00AE0320"/>
    <w:rsid w:val="00AE5771"/>
    <w:rsid w:val="00B00A86"/>
    <w:rsid w:val="00B15B34"/>
    <w:rsid w:val="00B244AC"/>
    <w:rsid w:val="00B245ED"/>
    <w:rsid w:val="00B24FD9"/>
    <w:rsid w:val="00B26E67"/>
    <w:rsid w:val="00B3469D"/>
    <w:rsid w:val="00B465C0"/>
    <w:rsid w:val="00B534DE"/>
    <w:rsid w:val="00B73723"/>
    <w:rsid w:val="00B76039"/>
    <w:rsid w:val="00B80715"/>
    <w:rsid w:val="00B84753"/>
    <w:rsid w:val="00BA51C3"/>
    <w:rsid w:val="00BC6183"/>
    <w:rsid w:val="00BE29E9"/>
    <w:rsid w:val="00BE5635"/>
    <w:rsid w:val="00BF21A2"/>
    <w:rsid w:val="00C20D2C"/>
    <w:rsid w:val="00C21CD6"/>
    <w:rsid w:val="00C3508B"/>
    <w:rsid w:val="00C36CCB"/>
    <w:rsid w:val="00C60D6C"/>
    <w:rsid w:val="00C661B3"/>
    <w:rsid w:val="00C77425"/>
    <w:rsid w:val="00C86C18"/>
    <w:rsid w:val="00C9132D"/>
    <w:rsid w:val="00C92731"/>
    <w:rsid w:val="00CA1B00"/>
    <w:rsid w:val="00CA1F99"/>
    <w:rsid w:val="00CC48C6"/>
    <w:rsid w:val="00D04832"/>
    <w:rsid w:val="00D07595"/>
    <w:rsid w:val="00D20DE3"/>
    <w:rsid w:val="00D21030"/>
    <w:rsid w:val="00D22F02"/>
    <w:rsid w:val="00D40C23"/>
    <w:rsid w:val="00D57648"/>
    <w:rsid w:val="00D603AF"/>
    <w:rsid w:val="00D769C1"/>
    <w:rsid w:val="00D77DB4"/>
    <w:rsid w:val="00D91413"/>
    <w:rsid w:val="00D95F82"/>
    <w:rsid w:val="00D96CA5"/>
    <w:rsid w:val="00D96F71"/>
    <w:rsid w:val="00DA5FA2"/>
    <w:rsid w:val="00DC65F6"/>
    <w:rsid w:val="00DC7606"/>
    <w:rsid w:val="00DD2CC2"/>
    <w:rsid w:val="00DE19F8"/>
    <w:rsid w:val="00DF4FFF"/>
    <w:rsid w:val="00DF5549"/>
    <w:rsid w:val="00E04241"/>
    <w:rsid w:val="00E10590"/>
    <w:rsid w:val="00E17942"/>
    <w:rsid w:val="00E262B1"/>
    <w:rsid w:val="00E51855"/>
    <w:rsid w:val="00E677A6"/>
    <w:rsid w:val="00E72D79"/>
    <w:rsid w:val="00E76E65"/>
    <w:rsid w:val="00EB4DE6"/>
    <w:rsid w:val="00EC1B87"/>
    <w:rsid w:val="00EC216A"/>
    <w:rsid w:val="00ED126B"/>
    <w:rsid w:val="00EE4A21"/>
    <w:rsid w:val="00EF5620"/>
    <w:rsid w:val="00F015F0"/>
    <w:rsid w:val="00F01997"/>
    <w:rsid w:val="00F13849"/>
    <w:rsid w:val="00F13FCD"/>
    <w:rsid w:val="00F152E5"/>
    <w:rsid w:val="00F22151"/>
    <w:rsid w:val="00F30ACB"/>
    <w:rsid w:val="00F53DA8"/>
    <w:rsid w:val="00F53FC1"/>
    <w:rsid w:val="00F54403"/>
    <w:rsid w:val="00F6595A"/>
    <w:rsid w:val="00F739D8"/>
    <w:rsid w:val="00FA673B"/>
    <w:rsid w:val="00FB42D4"/>
    <w:rsid w:val="00FB6562"/>
    <w:rsid w:val="00FC0BB6"/>
    <w:rsid w:val="00FC3993"/>
    <w:rsid w:val="00FD446C"/>
    <w:rsid w:val="00FE4AF7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83D32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Эл".Срок проведения независимой антикоррупционной экспертизы с 15.01.2021 г. по 22.01.2021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XXJ7TYMEEKJ2-2008-228</_dlc_DocId>
    <_dlc_DocIdUrl xmlns="57504d04-691e-4fc4-8f09-4f19fdbe90f6">
      <Url>https://vip.gov.mari.ru/mingosim/_layouts/DocIdRedir.aspx?ID=XXJ7TYMEEKJ2-2008-228</Url>
      <Description>XXJ7TYMEEKJ2-2008-228</Description>
    </_dlc_DocIdUrl>
  </documentManagement>
</p:properties>
</file>

<file path=customXml/itemProps1.xml><?xml version="1.0" encoding="utf-8"?>
<ds:datastoreItem xmlns:ds="http://schemas.openxmlformats.org/officeDocument/2006/customXml" ds:itemID="{584E18BC-5411-4116-9884-744095C79F18}"/>
</file>

<file path=customXml/itemProps2.xml><?xml version="1.0" encoding="utf-8"?>
<ds:datastoreItem xmlns:ds="http://schemas.openxmlformats.org/officeDocument/2006/customXml" ds:itemID="{631062B3-8BB0-4E0D-960A-1F4FEF6082CD}"/>
</file>

<file path=customXml/itemProps3.xml><?xml version="1.0" encoding="utf-8"?>
<ds:datastoreItem xmlns:ds="http://schemas.openxmlformats.org/officeDocument/2006/customXml" ds:itemID="{C0051B7A-0B25-4F61-9C7E-415FF0B8520C}"/>
</file>

<file path=customXml/itemProps4.xml><?xml version="1.0" encoding="utf-8"?>
<ds:datastoreItem xmlns:ds="http://schemas.openxmlformats.org/officeDocument/2006/customXml" ds:itemID="{A0D85D96-C681-4CDC-9ECE-52AB0446FCA4}"/>
</file>

<file path=customXml/itemProps5.xml><?xml version="1.0" encoding="utf-8"?>
<ds:datastoreItem xmlns:ds="http://schemas.openxmlformats.org/officeDocument/2006/customXml" ds:itemID="{6A8213C8-A9BA-4D41-9457-FF3E61890181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</TotalTime>
  <Pages>3</Pages>
  <Words>675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Казачкова</cp:lastModifiedBy>
  <cp:revision>3</cp:revision>
  <cp:lastPrinted>2021-01-14T14:24:00Z</cp:lastPrinted>
  <dcterms:created xsi:type="dcterms:W3CDTF">2021-01-15T07:23:00Z</dcterms:created>
  <dcterms:modified xsi:type="dcterms:W3CDTF">2021-01-15T07:24:00Z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4ad61e19-d836-403f-b95e-b0c09fc2f5f4</vt:lpwstr>
  </property>
</Properties>
</file>